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960C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191742B4" wp14:editId="2C66A957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69EC31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0E033B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339AEF61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A006" w14:textId="5C6109C8" w:rsidR="00F92268" w:rsidRPr="002D723B" w:rsidRDefault="00C80A43" w:rsidP="00F246C7">
            <w:pPr>
              <w:pStyle w:val="RefTableHeader"/>
            </w:pPr>
            <w:r>
              <w:t>3011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59DE36FA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CEFED63" w14:textId="39C24B21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9F2C09">
        <w:rPr>
          <w:lang w:val="pt-BR"/>
        </w:rPr>
        <w:t>Visudyne</w:t>
      </w:r>
    </w:p>
    <w:p w14:paraId="5B72BD43" w14:textId="7777777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BD3AC6C" w14:textId="77777777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4BD3920D" w14:textId="77777777" w:rsidTr="009E7554">
        <w:trPr>
          <w:cantSplit/>
          <w:trHeight w:val="288"/>
          <w:tblHeader/>
        </w:trPr>
        <w:tc>
          <w:tcPr>
            <w:tcW w:w="5265" w:type="dxa"/>
          </w:tcPr>
          <w:p w14:paraId="628A9974" w14:textId="77777777" w:rsidR="00252CE1" w:rsidRPr="00BD1CC1" w:rsidRDefault="00252CE1" w:rsidP="009E7554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7A2DD865" w14:textId="77777777" w:rsidR="00252CE1" w:rsidRPr="00BD1CC1" w:rsidRDefault="00252CE1" w:rsidP="009E7554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722A9C09" w14:textId="77777777" w:rsidTr="009E7554">
        <w:trPr>
          <w:cantSplit/>
        </w:trPr>
        <w:tc>
          <w:tcPr>
            <w:tcW w:w="5265" w:type="dxa"/>
          </w:tcPr>
          <w:p w14:paraId="0E96E434" w14:textId="11B5D339" w:rsidR="00585FFF" w:rsidRPr="00BD1CC1" w:rsidRDefault="009F2C09" w:rsidP="009E7554">
            <w:pPr>
              <w:pStyle w:val="TableData"/>
              <w:spacing w:after="0"/>
            </w:pPr>
            <w:r w:rsidRPr="009F2C09">
              <w:t>Visudyne</w:t>
            </w:r>
          </w:p>
        </w:tc>
        <w:tc>
          <w:tcPr>
            <w:tcW w:w="5595" w:type="dxa"/>
          </w:tcPr>
          <w:p w14:paraId="4DBD4C72" w14:textId="374D7935" w:rsidR="00585FFF" w:rsidRPr="00BD1CC1" w:rsidRDefault="009F2C09" w:rsidP="009E7554">
            <w:pPr>
              <w:pStyle w:val="TableData"/>
              <w:spacing w:after="0"/>
            </w:pPr>
            <w:r w:rsidRPr="009F2C09">
              <w:t xml:space="preserve">verteporfin </w:t>
            </w:r>
          </w:p>
        </w:tc>
      </w:tr>
    </w:tbl>
    <w:bookmarkEnd w:id="0"/>
    <w:p w14:paraId="67B0F150" w14:textId="77777777" w:rsidR="00FC1AAD" w:rsidRDefault="00474E9A" w:rsidP="002D723B">
      <w:pPr>
        <w:pStyle w:val="Heading2"/>
        <w:tabs>
          <w:tab w:val="left" w:pos="9525"/>
        </w:tabs>
        <w:spacing w:before="360"/>
      </w:pPr>
      <w:r>
        <w:t>Indications</w:t>
      </w:r>
    </w:p>
    <w:p w14:paraId="0A268792" w14:textId="14917A3D" w:rsidR="00474E9A" w:rsidRPr="00DB2FEC" w:rsidRDefault="00474E9A" w:rsidP="00474E9A">
      <w:pPr>
        <w:pStyle w:val="Heading3"/>
        <w:keepNext w:val="0"/>
        <w:rPr>
          <w:vertAlign w:val="superscript"/>
        </w:rPr>
      </w:pPr>
      <w:r w:rsidRPr="00AF287D">
        <w:t>FDA-approved Indications</w:t>
      </w:r>
      <w:r w:rsidR="00C80A43">
        <w:rPr>
          <w:vertAlign w:val="superscript"/>
        </w:rPr>
        <w:t>1</w:t>
      </w:r>
    </w:p>
    <w:p w14:paraId="032BA909" w14:textId="72CA9B24" w:rsidR="00474E9A" w:rsidRPr="00AF287D" w:rsidRDefault="009F2C09" w:rsidP="00474E9A">
      <w:pPr>
        <w:pStyle w:val="BodyText"/>
      </w:pPr>
      <w:r>
        <w:t>Visudyne for injection is indicated for the treatment of patients with predominantly classic subfoveal choroidal neovascularization due to age-related macular degeneration, pathologic myopia or presumed ocular histoplasmosis</w:t>
      </w:r>
      <w:r w:rsidR="516AD937">
        <w:t>.</w:t>
      </w:r>
    </w:p>
    <w:p w14:paraId="3D006C33" w14:textId="64F7951C" w:rsidR="00474E9A" w:rsidRPr="00DB2FEC" w:rsidRDefault="00474E9A" w:rsidP="00474E9A">
      <w:pPr>
        <w:pStyle w:val="Heading3"/>
        <w:rPr>
          <w:rStyle w:val="Emphasis"/>
          <w:i w:val="0"/>
          <w:iCs w:val="0"/>
          <w:sz w:val="32"/>
          <w:szCs w:val="32"/>
          <w:vertAlign w:val="superscript"/>
        </w:rPr>
      </w:pPr>
      <w:r w:rsidRPr="00AF287D">
        <w:rPr>
          <w:rStyle w:val="Emphasis"/>
          <w:i w:val="0"/>
          <w:iCs w:val="0"/>
          <w:sz w:val="32"/>
          <w:szCs w:val="32"/>
        </w:rPr>
        <w:t>Compendial Uses</w:t>
      </w:r>
      <w:r w:rsidR="00C80A43">
        <w:rPr>
          <w:rStyle w:val="Emphasis"/>
          <w:i w:val="0"/>
          <w:iCs w:val="0"/>
          <w:sz w:val="32"/>
          <w:szCs w:val="32"/>
          <w:vertAlign w:val="superscript"/>
        </w:rPr>
        <w:t>2,3</w:t>
      </w:r>
    </w:p>
    <w:p w14:paraId="17262F35" w14:textId="07A0A6BB" w:rsidR="009F2C09" w:rsidRDefault="009F2C09" w:rsidP="009F2C09">
      <w:pPr>
        <w:pStyle w:val="BodyText"/>
        <w:numPr>
          <w:ilvl w:val="0"/>
          <w:numId w:val="41"/>
        </w:numPr>
      </w:pPr>
      <w:r>
        <w:t>Classic subfoveal choroidal neovascularization due to chronic central serous chorioretinopathy</w:t>
      </w:r>
    </w:p>
    <w:p w14:paraId="5443C7A1" w14:textId="1740B2D1" w:rsidR="00474E9A" w:rsidRDefault="009F2C09" w:rsidP="009F2C09">
      <w:pPr>
        <w:pStyle w:val="BodyText"/>
        <w:numPr>
          <w:ilvl w:val="0"/>
          <w:numId w:val="41"/>
        </w:numPr>
      </w:pPr>
      <w:r>
        <w:t>Choroidal hemangioma</w:t>
      </w:r>
    </w:p>
    <w:p w14:paraId="254CA756" w14:textId="73ECC837" w:rsidR="009F2C09" w:rsidRPr="00474E9A" w:rsidRDefault="009F2C09" w:rsidP="009F2C09">
      <w:pPr>
        <w:pStyle w:val="BodyText"/>
      </w:pPr>
      <w:r w:rsidRPr="009F2C09">
        <w:t>All other indications are considered experimental/investigational and not medically necessary.</w:t>
      </w:r>
    </w:p>
    <w:p w14:paraId="6EC7BFC2" w14:textId="4877DB88" w:rsidR="00474E9A" w:rsidRDefault="00474E9A" w:rsidP="00DB2FEC">
      <w:pPr>
        <w:pStyle w:val="Heading2"/>
        <w:tabs>
          <w:tab w:val="left" w:pos="9330"/>
        </w:tabs>
      </w:pPr>
      <w:r>
        <w:lastRenderedPageBreak/>
        <w:t>Coverage Criteria</w:t>
      </w:r>
    </w:p>
    <w:p w14:paraId="5C94B25E" w14:textId="6107E68E" w:rsidR="009F2C09" w:rsidRPr="00DB2FEC" w:rsidRDefault="009F2C09" w:rsidP="009F2C09">
      <w:pPr>
        <w:pStyle w:val="Heading3"/>
        <w:rPr>
          <w:vertAlign w:val="superscript"/>
        </w:rPr>
      </w:pPr>
      <w:r>
        <w:t xml:space="preserve">Choroidal </w:t>
      </w:r>
      <w:r w:rsidR="003A4B68">
        <w:t>N</w:t>
      </w:r>
      <w:r>
        <w:t>eovascularization</w:t>
      </w:r>
      <w:r w:rsidR="0009778F">
        <w:rPr>
          <w:vertAlign w:val="superscript"/>
        </w:rPr>
        <w:t>1,2</w:t>
      </w:r>
    </w:p>
    <w:p w14:paraId="4F8BB76F" w14:textId="392DC740" w:rsidR="009F2C09" w:rsidRDefault="009F2C09" w:rsidP="009F2C09">
      <w:pPr>
        <w:pStyle w:val="BodyText"/>
      </w:pPr>
      <w:r>
        <w:t>Authorization of 6 months may be granted for treatment of predominantly classic subfoveal choroidal neovascularization (CNV) when both of the following criteria are met:</w:t>
      </w:r>
    </w:p>
    <w:p w14:paraId="3E08FDC2" w14:textId="3BB5581B" w:rsidR="009F2C09" w:rsidRDefault="009F2C09" w:rsidP="009F2C09">
      <w:pPr>
        <w:pStyle w:val="BodyText"/>
        <w:numPr>
          <w:ilvl w:val="0"/>
          <w:numId w:val="43"/>
        </w:numPr>
      </w:pPr>
      <w:r>
        <w:t>Member has predominantly classic subfoveal choroidal neovascularization due to ONE of the following:</w:t>
      </w:r>
    </w:p>
    <w:p w14:paraId="79FBCC8C" w14:textId="31A715FF" w:rsidR="009F2C09" w:rsidRDefault="009F2C09" w:rsidP="009F2C09">
      <w:pPr>
        <w:pStyle w:val="BodyText"/>
        <w:numPr>
          <w:ilvl w:val="1"/>
          <w:numId w:val="45"/>
        </w:numPr>
      </w:pPr>
      <w:r>
        <w:t>Age-related macular degeneration</w:t>
      </w:r>
    </w:p>
    <w:p w14:paraId="4BE3053A" w14:textId="3E45A94C" w:rsidR="009F2C09" w:rsidRDefault="009F2C09" w:rsidP="009F2C09">
      <w:pPr>
        <w:pStyle w:val="BodyText"/>
        <w:numPr>
          <w:ilvl w:val="1"/>
          <w:numId w:val="45"/>
        </w:numPr>
      </w:pPr>
      <w:r>
        <w:t>Pathologic myopia</w:t>
      </w:r>
    </w:p>
    <w:p w14:paraId="5F4C7156" w14:textId="117C99C3" w:rsidR="009F2C09" w:rsidRDefault="009F2C09" w:rsidP="009F2C09">
      <w:pPr>
        <w:pStyle w:val="BodyText"/>
        <w:numPr>
          <w:ilvl w:val="1"/>
          <w:numId w:val="45"/>
        </w:numPr>
      </w:pPr>
      <w:r>
        <w:t>Presumed ocular histoplasmosis</w:t>
      </w:r>
    </w:p>
    <w:p w14:paraId="12A4E655" w14:textId="74237673" w:rsidR="009F2C09" w:rsidRDefault="009F2C09" w:rsidP="009F2C09">
      <w:pPr>
        <w:pStyle w:val="BodyText"/>
        <w:numPr>
          <w:ilvl w:val="1"/>
          <w:numId w:val="45"/>
        </w:numPr>
      </w:pPr>
      <w:r>
        <w:t>Chronic central serous chorioretinopathy (also includes retinal pigment epithelial leakage without evident CNV)</w:t>
      </w:r>
    </w:p>
    <w:p w14:paraId="36C5A925" w14:textId="0F8404DA" w:rsidR="009F2C09" w:rsidRDefault="009F2C09" w:rsidP="009F2C09">
      <w:pPr>
        <w:pStyle w:val="BodyText"/>
        <w:numPr>
          <w:ilvl w:val="0"/>
          <w:numId w:val="43"/>
        </w:numPr>
      </w:pPr>
      <w:r>
        <w:t>The treatment spot size is less than or equal to 6.4 mm in diameter.</w:t>
      </w:r>
    </w:p>
    <w:p w14:paraId="57F6B274" w14:textId="6355DC2D" w:rsidR="009F2C09" w:rsidRPr="00DB2FEC" w:rsidRDefault="009F2C09" w:rsidP="009F2C09">
      <w:pPr>
        <w:pStyle w:val="Heading3"/>
        <w:rPr>
          <w:vertAlign w:val="superscript"/>
        </w:rPr>
      </w:pPr>
      <w:r>
        <w:t xml:space="preserve">Choroidal </w:t>
      </w:r>
      <w:r w:rsidR="003A4B68">
        <w:t>H</w:t>
      </w:r>
      <w:r>
        <w:t>emangioma</w:t>
      </w:r>
      <w:r w:rsidR="0009778F">
        <w:rPr>
          <w:vertAlign w:val="superscript"/>
        </w:rPr>
        <w:t>3</w:t>
      </w:r>
    </w:p>
    <w:p w14:paraId="00145E01" w14:textId="2E28E6F5" w:rsidR="00474E9A" w:rsidRPr="00474E9A" w:rsidRDefault="009F2C09" w:rsidP="009F2C09">
      <w:pPr>
        <w:pStyle w:val="BodyText"/>
      </w:pPr>
      <w:r>
        <w:t>Authorization of 6 months may be granted for treatment of choroidal hemangioma.</w:t>
      </w:r>
    </w:p>
    <w:p w14:paraId="28670ED4" w14:textId="77777777" w:rsidR="00474E9A" w:rsidRDefault="00474E9A" w:rsidP="00002A02">
      <w:pPr>
        <w:pStyle w:val="Heading2"/>
        <w:tabs>
          <w:tab w:val="left" w:pos="9885"/>
        </w:tabs>
      </w:pPr>
      <w:r>
        <w:t>Continuation of Therapy</w:t>
      </w:r>
    </w:p>
    <w:p w14:paraId="14B092EB" w14:textId="576A7E5F" w:rsidR="00474E9A" w:rsidRPr="00474E9A" w:rsidRDefault="009F2C09" w:rsidP="00474E9A">
      <w:pPr>
        <w:pStyle w:val="BodyText"/>
      </w:pPr>
      <w:r w:rsidRPr="009F2C09">
        <w:t>Authorization of 12 months may be granted for continued treatment of an indication listed in</w:t>
      </w:r>
      <w:r w:rsidR="0009778F">
        <w:t xml:space="preserve"> coverage criteria section</w:t>
      </w:r>
      <w:r w:rsidRPr="009F2C09">
        <w:t xml:space="preserve"> for members who have demonstrated a positive clinical response to therapy</w:t>
      </w:r>
      <w:r>
        <w:t>.</w:t>
      </w:r>
    </w:p>
    <w:p w14:paraId="5500EF73" w14:textId="77777777" w:rsidR="00FF66BF" w:rsidRPr="008D1B34" w:rsidRDefault="00FF66BF" w:rsidP="00FF66BF">
      <w:pPr>
        <w:pStyle w:val="Heading2"/>
      </w:pPr>
      <w:r w:rsidRPr="008D1B34">
        <w:t>References</w:t>
      </w:r>
    </w:p>
    <w:p w14:paraId="04120508" w14:textId="77777777" w:rsidR="009F2C09" w:rsidRDefault="009F2C09" w:rsidP="009F2C09">
      <w:pPr>
        <w:pStyle w:val="ReferenceOrdered"/>
      </w:pPr>
      <w:r>
        <w:t>Visudyne [package insert]. Charleston, SC: Alcami Carolinas Corporation; February 2023.</w:t>
      </w:r>
    </w:p>
    <w:p w14:paraId="4257B595" w14:textId="77777777" w:rsidR="009F2C09" w:rsidRDefault="009F2C09" w:rsidP="009F2C09">
      <w:pPr>
        <w:pStyle w:val="ReferenceOrdered"/>
      </w:pPr>
      <w:r>
        <w:t xml:space="preserve">van </w:t>
      </w:r>
      <w:proofErr w:type="spellStart"/>
      <w:r>
        <w:t>Rijssen</w:t>
      </w:r>
      <w:proofErr w:type="spellEnd"/>
      <w:r>
        <w:t xml:space="preserve">, T.J., van Dijk, E.H.C., </w:t>
      </w:r>
      <w:proofErr w:type="spellStart"/>
      <w:r>
        <w:t>Yzer</w:t>
      </w:r>
      <w:proofErr w:type="spellEnd"/>
      <w:r>
        <w:t xml:space="preserve">, S., Ohno-Matsui, K., Keunen, J.E.E., </w:t>
      </w:r>
      <w:proofErr w:type="spellStart"/>
      <w:r>
        <w:t>Schlingemann</w:t>
      </w:r>
      <w:proofErr w:type="spellEnd"/>
      <w:r>
        <w:t xml:space="preserve">, R.O., </w:t>
      </w:r>
      <w:proofErr w:type="spellStart"/>
      <w:r>
        <w:t>Sivaprasad</w:t>
      </w:r>
      <w:proofErr w:type="spellEnd"/>
      <w:r>
        <w:t xml:space="preserve">, S., </w:t>
      </w:r>
      <w:proofErr w:type="spellStart"/>
      <w:r>
        <w:t>Querques</w:t>
      </w:r>
      <w:proofErr w:type="spellEnd"/>
      <w:r>
        <w:t xml:space="preserve">, G., Downes, S.M., </w:t>
      </w:r>
      <w:proofErr w:type="spellStart"/>
      <w:r>
        <w:t>Fauser</w:t>
      </w:r>
      <w:proofErr w:type="spellEnd"/>
      <w:r>
        <w:t xml:space="preserve">, S., </w:t>
      </w:r>
      <w:proofErr w:type="spellStart"/>
      <w:r>
        <w:t>Hoyng</w:t>
      </w:r>
      <w:proofErr w:type="spellEnd"/>
      <w:r>
        <w:t xml:space="preserve">, C.B., </w:t>
      </w:r>
      <w:proofErr w:type="spellStart"/>
      <w:r>
        <w:t>Piccolino</w:t>
      </w:r>
      <w:proofErr w:type="spellEnd"/>
      <w:r>
        <w:t xml:space="preserve">, F.C., </w:t>
      </w:r>
      <w:proofErr w:type="spellStart"/>
      <w:r>
        <w:t>Chhablani</w:t>
      </w:r>
      <w:proofErr w:type="spellEnd"/>
      <w:r>
        <w:t xml:space="preserve">, J.K., Lai, T.Y.Y., </w:t>
      </w:r>
      <w:proofErr w:type="spellStart"/>
      <w:r>
        <w:t>Lotery</w:t>
      </w:r>
      <w:proofErr w:type="spellEnd"/>
      <w:r>
        <w:t xml:space="preserve">, A.J., Larsen, M., </w:t>
      </w:r>
      <w:proofErr w:type="spellStart"/>
      <w:r>
        <w:t>Holz</w:t>
      </w:r>
      <w:proofErr w:type="spellEnd"/>
      <w:r>
        <w:t xml:space="preserve">, F.G., Freund, K.B., </w:t>
      </w:r>
      <w:proofErr w:type="spellStart"/>
      <w:r>
        <w:t>Yannuzzi</w:t>
      </w:r>
      <w:proofErr w:type="spellEnd"/>
      <w:r>
        <w:t xml:space="preserve">, L.A., Boon, C.J.F., Central serous chorioretinopathy: Towards an evidence-based treatment guideline, Progress in Retinal and Eye Research (2019), </w:t>
      </w:r>
      <w:proofErr w:type="spellStart"/>
      <w:r>
        <w:t>doi</w:t>
      </w:r>
      <w:proofErr w:type="spellEnd"/>
      <w:r>
        <w:t>: https://doi.org/10.1016/j.preteyeres.2019.07.003.</w:t>
      </w:r>
    </w:p>
    <w:p w14:paraId="1FEF03D1" w14:textId="39DDFF61" w:rsidR="00720F23" w:rsidRDefault="009F2C09" w:rsidP="009F2C09">
      <w:pPr>
        <w:pStyle w:val="ReferenceOrdered"/>
      </w:pPr>
      <w:proofErr w:type="spellStart"/>
      <w:r>
        <w:t>Tsipursky</w:t>
      </w:r>
      <w:proofErr w:type="spellEnd"/>
      <w:r>
        <w:t xml:space="preserve"> MS, </w:t>
      </w:r>
      <w:proofErr w:type="spellStart"/>
      <w:r>
        <w:t>Golchet</w:t>
      </w:r>
      <w:proofErr w:type="spellEnd"/>
      <w:r>
        <w:t xml:space="preserve"> PR, </w:t>
      </w:r>
      <w:proofErr w:type="spellStart"/>
      <w:r>
        <w:t>Jampol</w:t>
      </w:r>
      <w:proofErr w:type="spellEnd"/>
      <w:r>
        <w:t xml:space="preserve"> LM. </w:t>
      </w:r>
      <w:proofErr w:type="spellStart"/>
      <w:r>
        <w:t>Photogynamic</w:t>
      </w:r>
      <w:proofErr w:type="spellEnd"/>
      <w:r>
        <w:t xml:space="preserve"> therapy of choroidal hemangioma in </w:t>
      </w:r>
      <w:proofErr w:type="spellStart"/>
      <w:r>
        <w:t>sturge</w:t>
      </w:r>
      <w:proofErr w:type="spellEnd"/>
      <w:r>
        <w:t xml:space="preserve">-weber syndrome, with a review of treatments for diffuse and circumscribed choroidal hemangiomas. </w:t>
      </w:r>
      <w:proofErr w:type="spellStart"/>
      <w:r>
        <w:t>Surv</w:t>
      </w:r>
      <w:proofErr w:type="spellEnd"/>
      <w:r>
        <w:t xml:space="preserve"> </w:t>
      </w:r>
      <w:proofErr w:type="spellStart"/>
      <w:r>
        <w:t>Ophthalmol</w:t>
      </w:r>
      <w:proofErr w:type="spellEnd"/>
      <w:r>
        <w:t>. 2011; 56 (1): 68-85.</w:t>
      </w:r>
    </w:p>
    <w:sectPr w:rsidR="00720F23" w:rsidSect="009F2C0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59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F3385" w14:textId="77777777" w:rsidR="000B34A1" w:rsidRDefault="000B34A1">
      <w:r>
        <w:separator/>
      </w:r>
    </w:p>
  </w:endnote>
  <w:endnote w:type="continuationSeparator" w:id="0">
    <w:p w14:paraId="7DBDF10A" w14:textId="77777777" w:rsidR="000B34A1" w:rsidRDefault="000B34A1">
      <w:r>
        <w:continuationSeparator/>
      </w:r>
    </w:p>
  </w:endnote>
  <w:endnote w:type="continuationNotice" w:id="1">
    <w:p w14:paraId="576081D6" w14:textId="77777777" w:rsidR="000B34A1" w:rsidRDefault="000B34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6E82" w14:textId="1EB22B3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A0AFE" w:rsidRPr="00EA0AFE">
      <w:rPr>
        <w:rFonts w:cs="Arial"/>
        <w:noProof/>
        <w:sz w:val="16"/>
        <w:szCs w:val="16"/>
      </w:rPr>
      <w:t>Visudyne</w:t>
    </w:r>
    <w:r w:rsidR="00EA0AFE">
      <w:rPr>
        <w:rFonts w:cs="Arial"/>
        <w:noProof/>
        <w:snapToGrid w:val="0"/>
        <w:color w:val="000000"/>
        <w:sz w:val="16"/>
        <w:szCs w:val="16"/>
      </w:rPr>
      <w:t xml:space="preserve"> SGM 3011-A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9778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CAD53AE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0702E20" w14:textId="77777777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CBCAB" w14:textId="3DE5879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A0AFE" w:rsidRPr="00EA0AFE">
      <w:rPr>
        <w:rFonts w:cs="Arial"/>
        <w:noProof/>
        <w:sz w:val="16"/>
        <w:szCs w:val="16"/>
      </w:rPr>
      <w:t>Visudyne</w:t>
    </w:r>
    <w:r w:rsidR="00EA0AFE">
      <w:rPr>
        <w:rFonts w:cs="Arial"/>
        <w:noProof/>
        <w:snapToGrid w:val="0"/>
        <w:color w:val="000000"/>
        <w:sz w:val="16"/>
        <w:szCs w:val="16"/>
      </w:rPr>
      <w:t xml:space="preserve"> SGM 3011-A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80A43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5FDEAFA1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D04A693" w14:textId="77777777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9C86D" w14:textId="77777777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0378" w14:textId="77777777" w:rsidR="000B34A1" w:rsidRDefault="000B34A1">
      <w:r>
        <w:separator/>
      </w:r>
    </w:p>
  </w:footnote>
  <w:footnote w:type="continuationSeparator" w:id="0">
    <w:p w14:paraId="7ECFCEA0" w14:textId="77777777" w:rsidR="000B34A1" w:rsidRDefault="000B34A1">
      <w:r>
        <w:continuationSeparator/>
      </w:r>
    </w:p>
  </w:footnote>
  <w:footnote w:type="continuationNotice" w:id="1">
    <w:p w14:paraId="24756629" w14:textId="77777777" w:rsidR="000B34A1" w:rsidRDefault="000B34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07890BB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AB87E5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24042CEF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2F928BA6" w14:textId="3E25AB5E" w:rsidR="002B608C" w:rsidRPr="006427E4" w:rsidRDefault="00C80A43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3</w:t>
          </w:r>
          <w:r>
            <w:rPr>
              <w:sz w:val="16"/>
              <w:szCs w:val="16"/>
            </w:rPr>
            <w:t>011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4F3C8731" w14:textId="77777777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19621272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1B1BED0F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75EDF72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626A6984" w14:textId="77777777" w:rsidR="000F5383" w:rsidRPr="00FF66BF" w:rsidRDefault="000F5383" w:rsidP="009E1F57">
          <w:pPr>
            <w:pStyle w:val="RefTableHeader"/>
          </w:pPr>
        </w:p>
      </w:tc>
    </w:tr>
  </w:tbl>
  <w:p w14:paraId="7DAEE0DE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E8548750"/>
    <w:lvl w:ilvl="0" w:tplc="A330FE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3F55B0"/>
    <w:multiLevelType w:val="hybridMultilevel"/>
    <w:tmpl w:val="94F4015E"/>
    <w:lvl w:ilvl="0" w:tplc="E68C2638">
      <w:start w:val="1"/>
      <w:numFmt w:val="upperLetter"/>
      <w:lvlText w:val="%1."/>
      <w:lvlJc w:val="left"/>
      <w:pPr>
        <w:ind w:left="720" w:hanging="360"/>
      </w:pPr>
    </w:lvl>
    <w:lvl w:ilvl="1" w:tplc="AC024E12">
      <w:start w:val="1"/>
      <w:numFmt w:val="lowerLetter"/>
      <w:lvlText w:val="%2."/>
      <w:lvlJc w:val="left"/>
      <w:pPr>
        <w:ind w:left="1440" w:hanging="360"/>
      </w:pPr>
    </w:lvl>
    <w:lvl w:ilvl="2" w:tplc="72406208">
      <w:start w:val="1"/>
      <w:numFmt w:val="lowerRoman"/>
      <w:lvlText w:val="%3."/>
      <w:lvlJc w:val="right"/>
      <w:pPr>
        <w:ind w:left="2160" w:hanging="180"/>
      </w:pPr>
    </w:lvl>
    <w:lvl w:ilvl="3" w:tplc="3AD44FD6">
      <w:start w:val="1"/>
      <w:numFmt w:val="decimal"/>
      <w:lvlText w:val="%4."/>
      <w:lvlJc w:val="left"/>
      <w:pPr>
        <w:ind w:left="2880" w:hanging="360"/>
      </w:pPr>
    </w:lvl>
    <w:lvl w:ilvl="4" w:tplc="2AD23616">
      <w:start w:val="1"/>
      <w:numFmt w:val="lowerLetter"/>
      <w:lvlText w:val="%5."/>
      <w:lvlJc w:val="left"/>
      <w:pPr>
        <w:ind w:left="3600" w:hanging="360"/>
      </w:pPr>
    </w:lvl>
    <w:lvl w:ilvl="5" w:tplc="7CBE0BA2">
      <w:start w:val="1"/>
      <w:numFmt w:val="lowerRoman"/>
      <w:lvlText w:val="%6."/>
      <w:lvlJc w:val="right"/>
      <w:pPr>
        <w:ind w:left="4320" w:hanging="180"/>
      </w:pPr>
    </w:lvl>
    <w:lvl w:ilvl="6" w:tplc="A0429CFE">
      <w:start w:val="1"/>
      <w:numFmt w:val="decimal"/>
      <w:lvlText w:val="%7."/>
      <w:lvlJc w:val="left"/>
      <w:pPr>
        <w:ind w:left="5040" w:hanging="360"/>
      </w:pPr>
    </w:lvl>
    <w:lvl w:ilvl="7" w:tplc="271EF13A">
      <w:start w:val="1"/>
      <w:numFmt w:val="lowerLetter"/>
      <w:lvlText w:val="%8."/>
      <w:lvlJc w:val="left"/>
      <w:pPr>
        <w:ind w:left="5760" w:hanging="360"/>
      </w:pPr>
    </w:lvl>
    <w:lvl w:ilvl="8" w:tplc="FCCA5B7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0655AC"/>
    <w:multiLevelType w:val="hybridMultilevel"/>
    <w:tmpl w:val="903A6A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3F569D"/>
    <w:multiLevelType w:val="hybridMultilevel"/>
    <w:tmpl w:val="6F5C8B44"/>
    <w:lvl w:ilvl="0" w:tplc="E06899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72DFD"/>
    <w:multiLevelType w:val="hybridMultilevel"/>
    <w:tmpl w:val="E13E9D90"/>
    <w:lvl w:ilvl="0" w:tplc="31FCD6B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2D0D7F6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04870"/>
    <w:multiLevelType w:val="hybridMultilevel"/>
    <w:tmpl w:val="8DCC5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351ED"/>
    <w:multiLevelType w:val="hybridMultilevel"/>
    <w:tmpl w:val="6B06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767224">
    <w:abstractNumId w:val="16"/>
  </w:num>
  <w:num w:numId="2" w16cid:durableId="1264921869">
    <w:abstractNumId w:val="13"/>
  </w:num>
  <w:num w:numId="3" w16cid:durableId="606935877">
    <w:abstractNumId w:val="39"/>
  </w:num>
  <w:num w:numId="4" w16cid:durableId="611589570">
    <w:abstractNumId w:val="29"/>
  </w:num>
  <w:num w:numId="5" w16cid:durableId="766777065">
    <w:abstractNumId w:val="9"/>
  </w:num>
  <w:num w:numId="6" w16cid:durableId="1191800873">
    <w:abstractNumId w:val="7"/>
  </w:num>
  <w:num w:numId="7" w16cid:durableId="1946840854">
    <w:abstractNumId w:val="6"/>
  </w:num>
  <w:num w:numId="8" w16cid:durableId="857428209">
    <w:abstractNumId w:val="5"/>
  </w:num>
  <w:num w:numId="9" w16cid:durableId="1566572940">
    <w:abstractNumId w:val="4"/>
  </w:num>
  <w:num w:numId="10" w16cid:durableId="1775905588">
    <w:abstractNumId w:val="8"/>
  </w:num>
  <w:num w:numId="11" w16cid:durableId="1108695228">
    <w:abstractNumId w:val="3"/>
  </w:num>
  <w:num w:numId="12" w16cid:durableId="200215697">
    <w:abstractNumId w:val="2"/>
  </w:num>
  <w:num w:numId="13" w16cid:durableId="414789896">
    <w:abstractNumId w:val="1"/>
  </w:num>
  <w:num w:numId="14" w16cid:durableId="1872957897">
    <w:abstractNumId w:val="0"/>
  </w:num>
  <w:num w:numId="15" w16cid:durableId="1653175460">
    <w:abstractNumId w:val="14"/>
  </w:num>
  <w:num w:numId="16" w16cid:durableId="616722934">
    <w:abstractNumId w:val="11"/>
  </w:num>
  <w:num w:numId="17" w16cid:durableId="898320195">
    <w:abstractNumId w:val="24"/>
  </w:num>
  <w:num w:numId="18" w16cid:durableId="2128498676">
    <w:abstractNumId w:val="42"/>
  </w:num>
  <w:num w:numId="19" w16cid:durableId="299724409">
    <w:abstractNumId w:val="31"/>
  </w:num>
  <w:num w:numId="20" w16cid:durableId="214585573">
    <w:abstractNumId w:val="17"/>
  </w:num>
  <w:num w:numId="21" w16cid:durableId="1289816170">
    <w:abstractNumId w:val="19"/>
  </w:num>
  <w:num w:numId="22" w16cid:durableId="1066490929">
    <w:abstractNumId w:val="43"/>
  </w:num>
  <w:num w:numId="23" w16cid:durableId="1472481103">
    <w:abstractNumId w:val="34"/>
  </w:num>
  <w:num w:numId="24" w16cid:durableId="1997420403">
    <w:abstractNumId w:val="40"/>
  </w:num>
  <w:num w:numId="25" w16cid:durableId="33312838">
    <w:abstractNumId w:val="32"/>
  </w:num>
  <w:num w:numId="26" w16cid:durableId="507404939">
    <w:abstractNumId w:val="23"/>
  </w:num>
  <w:num w:numId="27" w16cid:durableId="1199008779">
    <w:abstractNumId w:val="18"/>
  </w:num>
  <w:num w:numId="28" w16cid:durableId="313687096">
    <w:abstractNumId w:val="25"/>
  </w:num>
  <w:num w:numId="29" w16cid:durableId="235746884">
    <w:abstractNumId w:val="12"/>
  </w:num>
  <w:num w:numId="30" w16cid:durableId="685014010">
    <w:abstractNumId w:val="26"/>
  </w:num>
  <w:num w:numId="31" w16cid:durableId="879166249">
    <w:abstractNumId w:val="38"/>
  </w:num>
  <w:num w:numId="32" w16cid:durableId="1243566383">
    <w:abstractNumId w:val="35"/>
  </w:num>
  <w:num w:numId="33" w16cid:durableId="1658726212">
    <w:abstractNumId w:val="21"/>
  </w:num>
  <w:num w:numId="34" w16cid:durableId="345324521">
    <w:abstractNumId w:val="37"/>
  </w:num>
  <w:num w:numId="35" w16cid:durableId="845704041">
    <w:abstractNumId w:val="36"/>
  </w:num>
  <w:num w:numId="36" w16cid:durableId="1879706093">
    <w:abstractNumId w:val="41"/>
  </w:num>
  <w:num w:numId="37" w16cid:durableId="1810242603">
    <w:abstractNumId w:val="15"/>
  </w:num>
  <w:num w:numId="38" w16cid:durableId="1341129603">
    <w:abstractNumId w:val="43"/>
  </w:num>
  <w:num w:numId="39" w16cid:durableId="1564099394">
    <w:abstractNumId w:val="43"/>
  </w:num>
  <w:num w:numId="40" w16cid:durableId="348216433">
    <w:abstractNumId w:val="20"/>
  </w:num>
  <w:num w:numId="41" w16cid:durableId="851921423">
    <w:abstractNumId w:val="30"/>
  </w:num>
  <w:num w:numId="42" w16cid:durableId="2065829567">
    <w:abstractNumId w:val="27"/>
  </w:num>
  <w:num w:numId="43" w16cid:durableId="46728163">
    <w:abstractNumId w:val="33"/>
  </w:num>
  <w:num w:numId="44" w16cid:durableId="1593976814">
    <w:abstractNumId w:val="28"/>
  </w:num>
  <w:num w:numId="45" w16cid:durableId="1976256988">
    <w:abstractNumId w:val="22"/>
  </w:num>
  <w:num w:numId="46" w16cid:durableId="50262719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77D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A8A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FBC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78F"/>
    <w:rsid w:val="0009781E"/>
    <w:rsid w:val="000A0CCE"/>
    <w:rsid w:val="000A1653"/>
    <w:rsid w:val="000A1ACD"/>
    <w:rsid w:val="000A25B9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34A1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0D5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842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49B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37AC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4B68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77D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468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708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461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174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A7D5A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1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3D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D42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B79"/>
    <w:rsid w:val="00931D1D"/>
    <w:rsid w:val="00931D32"/>
    <w:rsid w:val="009323E1"/>
    <w:rsid w:val="009324A8"/>
    <w:rsid w:val="00932532"/>
    <w:rsid w:val="00933C14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41B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E7554"/>
    <w:rsid w:val="009F0845"/>
    <w:rsid w:val="009F0B50"/>
    <w:rsid w:val="009F1EDE"/>
    <w:rsid w:val="009F2C09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45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D23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3969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6AD0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146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0A43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B4C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977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06B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2FEC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C3C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0AF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4AF2EEC"/>
    <w:rsid w:val="0CCC33DD"/>
    <w:rsid w:val="29729D5D"/>
    <w:rsid w:val="2EDCD666"/>
    <w:rsid w:val="35CCFA64"/>
    <w:rsid w:val="516AD937"/>
    <w:rsid w:val="62C780E2"/>
    <w:rsid w:val="6D1DC6A4"/>
    <w:rsid w:val="6DB0E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F60B7F"/>
  <w15:chartTrackingRefBased/>
  <w15:docId w15:val="{F00D19B0-F416-470F-8F30-450F1544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2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2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3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4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5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6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7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8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9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10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1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2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3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4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5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6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7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20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8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9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40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105368\Downloads\Template_SGM%20Name%20xxxx-A_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58C23A7F-1C6B-4B88-BE6C-996467C9F406}"/>
</file>

<file path=docProps/app.xml><?xml version="1.0" encoding="utf-8"?>
<Properties xmlns="http://schemas.openxmlformats.org/officeDocument/2006/extended-properties" xmlns:vt="http://schemas.openxmlformats.org/officeDocument/2006/docPropsVTypes">
  <Template>Template_SGM Name xxxx-A_R.dotx</Template>
  <TotalTime>5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>Specialty Quantity Limit Vanflyta 6097-H 2024</vt:lpstr>
      <vt:lpstr>Specialty Guideline Management Visudyne</vt:lpstr>
      <vt:lpstr>    Products Referenced by this Document</vt:lpstr>
      <vt:lpstr>    Indications</vt:lpstr>
      <vt:lpstr>        FDA-approved Indications1</vt:lpstr>
      <vt:lpstr>        Compendial Uses2,3</vt:lpstr>
      <vt:lpstr>    Coverage Criteria</vt:lpstr>
      <vt:lpstr>        Choroidal Neovascularization1,2,A</vt:lpstr>
      <vt:lpstr>        Choroidal Hemangioma3,A</vt:lpstr>
      <vt:lpstr>    Continuation of Therapy</vt:lpstr>
      <vt:lpstr>    References</vt:lpstr>
      <vt:lpstr>    Internal References</vt:lpstr>
      <vt:lpstr>    Document History</vt:lpstr>
    </vt:vector>
  </TitlesOfParts>
  <Company>PCS Health Systems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Visudyne SGM 3011-A</dc:title>
  <dc:subject/>
  <dc:creator>Victor Reynoso</dc:creator>
  <cp:keywords/>
  <cp:lastModifiedBy>Huerta, Linda M</cp:lastModifiedBy>
  <cp:revision>7</cp:revision>
  <cp:lastPrinted>2018-01-09T05:01:00Z</cp:lastPrinted>
  <dcterms:created xsi:type="dcterms:W3CDTF">2025-04-25T14:38:00Z</dcterms:created>
  <dcterms:modified xsi:type="dcterms:W3CDTF">2025-04-25T14:43:00Z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2538500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